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0"/>
        <w:gridCol w:w="3121"/>
        <w:gridCol w:w="1560"/>
        <w:gridCol w:w="2835"/>
        <w:gridCol w:w="11"/>
      </w:tblGrid>
      <w:tr w:rsidR="00A057AF" w:rsidRPr="00730F6D" w:rsidTr="00DD67F9">
        <w:trPr>
          <w:trHeight w:val="284"/>
        </w:trPr>
        <w:tc>
          <w:tcPr>
            <w:tcW w:w="97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268C" w:rsidRPr="00730F6D" w:rsidRDefault="00CC268C" w:rsidP="007221FE">
            <w:pPr>
              <w:shd w:val="clear" w:color="auto" w:fill="FFFFFF"/>
              <w:rPr>
                <w:rFonts w:ascii="Calibri" w:hAnsi="Calibri" w:cs="Calibri"/>
                <w:b/>
                <w:u w:val="single"/>
              </w:rPr>
            </w:pPr>
            <w:r w:rsidRPr="00CC268C">
              <w:rPr>
                <w:rFonts w:ascii="Calibri" w:hAnsi="Calibri" w:cs="Calibri"/>
                <w:b/>
                <w:u w:val="single"/>
              </w:rPr>
              <w:t>Łóżko z barierkami bocznymi ze sterowaniem elektrycznym</w:t>
            </w:r>
            <w:bookmarkStart w:id="0" w:name="_GoBack"/>
            <w:bookmarkEnd w:id="0"/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Nazwa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Typ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Wytwórca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Kraj pochodzenia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</w:rPr>
            </w:pPr>
          </w:p>
        </w:tc>
      </w:tr>
      <w:tr w:rsidR="00A057AF" w:rsidRPr="00730F6D" w:rsidTr="00DD67F9">
        <w:trPr>
          <w:trHeight w:val="284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BB5FAF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</w:rPr>
            </w:pPr>
            <w:r w:rsidRPr="00730F6D">
              <w:rPr>
                <w:rFonts w:ascii="Calibri" w:hAnsi="Calibri" w:cs="Calibri"/>
                <w:b/>
                <w:color w:val="000000"/>
              </w:rPr>
              <w:t>Rok produkcji:  201</w:t>
            </w:r>
            <w:r w:rsidR="000732D8">
              <w:rPr>
                <w:rFonts w:ascii="Calibri" w:hAnsi="Calibri" w:cs="Calibri"/>
                <w:b/>
                <w:color w:val="000000"/>
              </w:rPr>
              <w:t>9</w:t>
            </w:r>
          </w:p>
        </w:tc>
        <w:tc>
          <w:tcPr>
            <w:tcW w:w="75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730F6D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A057AF" w:rsidRPr="00730F6D" w:rsidTr="00DD67F9">
        <w:trPr>
          <w:gridAfter w:val="1"/>
          <w:wAfter w:w="11" w:type="dxa"/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730F6D" w:rsidRDefault="00A057AF" w:rsidP="00292D7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WYMAGANE PARAMETRY              I WARUNKI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Default="00A057AF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30F6D">
              <w:rPr>
                <w:rFonts w:ascii="Calibri" w:hAnsi="Calibri" w:cs="Calibri"/>
                <w:b/>
                <w:bCs/>
              </w:rPr>
              <w:t>PARAMETRY OFEROWANE</w:t>
            </w:r>
          </w:p>
          <w:p w:rsidR="00DD67F9" w:rsidRPr="00730F6D" w:rsidRDefault="00DD67F9" w:rsidP="009E021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(wypełnia wykonawca)</w:t>
            </w: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szpitalne o wymiarach leża 200cm x 90 cm (+/-5cm) wraz z funkcją przedłużania leża min. 150 mm i czterema otworami we wszystkich narożnikach łózka do montażu wyposażenia dodatkowego 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z elektrycznymi regulacjami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Wysokości , segmentu pleców , segmentu uda, przechyłów Trendelenburga i antyTrendelenburga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Zasilanie 230 V, 50 Hz z sygnalizacją włączenia do sieci w celu uniknięcia nieświadomego wyrwania kabla z gniazdka i uszkodzenia łóżka lub gniazdka.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Kabel zasilający w przewodzie skręcanym rozciągliwym. Nie dopuszcza się przewodów prostych.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Funkcja CPR segmentu pleców pozwalająca na natychmiastową reakcję w sytuacjach zagrożenia życia pacjenta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Funkcja autokonturu- jednoczesnej regulacji segmentu pleców i segmentu uda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wysokości leża, w zakresie 350 mm do 750 mm (+/- 20mm), gwarantująca bezpieczne opuszczanie łóżka i zapobiegająca „zeskakiwaniu z łóżka” /nie dotykaniu pełnymi stopami podłogi podczas opuszczania łóżka/. Nie dopuszcza się rozwiązań o wysokości minimalnej wyższej narażającej pacjenta na ryzyko upadków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pleców min 65</w:t>
            </w:r>
            <w:r w:rsidRPr="00730F6D">
              <w:rPr>
                <w:rFonts w:ascii="Calibri" w:hAnsi="Calibri" w:cs="Calibri"/>
              </w:rPr>
              <w:sym w:font="Symbol" w:char="F0B0"/>
            </w:r>
            <w:r w:rsidRPr="00730F6D">
              <w:rPr>
                <w:rFonts w:ascii="Calibri" w:hAnsi="Calibri" w:cs="Calibri"/>
              </w:rPr>
              <w:t xml:space="preserve">  oraz regulacja elektryczna uda min 34</w:t>
            </w:r>
            <w:r w:rsidRPr="00730F6D">
              <w:rPr>
                <w:rFonts w:ascii="Calibri" w:hAnsi="Calibri" w:cs="Calibri"/>
              </w:rPr>
              <w:sym w:font="Symbol" w:char="F0B0"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pozycji Trendelenburga i antyTrendelnburga min. 15</w:t>
            </w:r>
            <w:r w:rsidRPr="00730F6D">
              <w:rPr>
                <w:rFonts w:ascii="Calibri" w:hAnsi="Calibri" w:cs="Calibri"/>
              </w:rPr>
              <w:sym w:font="Symbol" w:char="F0B0"/>
            </w:r>
            <w:r w:rsidRPr="00730F6D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Leże łóżka  4 – sekcyjne, w tym 3 ruchome. Leże wypełnienie panelami tworzywowymi. Po kilka paneli w segmencie pleców i podudzia. Panele gładkie, łatwo demontowalne, lekkie (maksymalna waga pojedynczego panelu poniżej 1kg) nadające się do dezynfekcji. Panele zabezpieczone przed przesuwaniem się i wypadnięciem poprzez system zatrzaskowy.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  <w:highlight w:val="yellow"/>
              </w:rPr>
            </w:pPr>
            <w:r w:rsidRPr="00730F6D">
              <w:rPr>
                <w:rFonts w:ascii="Calibri" w:hAnsi="Calibri" w:cs="Calibri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min.9cm, w segmencie uda: min.5cm.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Funkcja zaawansowanej autoregresji, system teleskopowego odsuwania się segmentu pleców oraz uda nie tylko do tyłu, ale i do góry (ruch po okręgu) podczas podnoszenia segmentów, w celu eliminacji sił tarcia będącymi potencjalnym zagrożeniem powstawania </w:t>
            </w:r>
            <w:r w:rsidRPr="00730F6D">
              <w:rPr>
                <w:rFonts w:ascii="Calibri" w:hAnsi="Calibri" w:cs="Calibri"/>
              </w:rPr>
              <w:lastRenderedPageBreak/>
              <w:t>odleżyn stopnia 1:4.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Blokady szczytów z graficzną, kolorystyczną informacją: zablokowane/odblokowane.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Koła metalowe o średnicy 125mm. Centralna oraz kierunkowa blokada kół uruchamiana za pomocą jednej z dwóch dźwigni zlokalizowanych bezpośrednio przy kołach od strony nóg, po obu stronach łóżka.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Bezpieczne obciążenie robocze dla każdej pozycji leża i segmentów na poziomie minimum 250kg. Pozwalające na wszystkie możliwe regulacje przy tym obciążeniu bez narażenia bezpieczeństwa pacjenta i powstanie incydentu medycznego.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metalowe lakierowane składane wzdłuż ramy leża nie powodujące poszerzenia łóżka, barierki składane poniżej poziomu materaca, Barierki boczne składające się z min trzech poprzeczek. W celach bezpieczeństwa barierki odblokowywane w min dwóch ruchach. tj. podniesienie barierki, zwolnienie blokady oraz  opuszczenie barierki. Nie dopuszcza się łóżka z barierkami z przyciskiem/dźwignią blokady działającym bez podniesienia barierki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Łóżko wyposażone w pilot z możliwością podświetlenia przycisków w celu łatwej obsługi podczas nocy oraz  centralny panelu sterowania dla   personelu: min. regulacja kąta nachylenia segmentu pleców, ud oraz wysokości, funkcji przechyłów wzdłużnych, autokontur, pozycja antyszokowa, pozycja krzesła kardiologicznego i pozycja CPR. Panel z możliwością zawieszenia na szczycie od strony nóg oraz schowania w półce na pościel. Min. 3 oznaczone innymi kolorami strefy w panelu sterowania w celu bardziej intuicyjnej obsługi.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Regulacja elektryczna uzyskiwana przy pomocy jednego oznaczonego odpowiednim piktogramem przycisku na panelu sterowniczym montowanym na szczycie łóżka od strony nóg :</w:t>
            </w:r>
            <w:r w:rsidRPr="00730F6D">
              <w:rPr>
                <w:rFonts w:ascii="Calibri" w:hAnsi="Calibri" w:cs="Calibri"/>
              </w:rPr>
              <w:br/>
              <w:t xml:space="preserve">- pozycji krzesła kardiologicznego </w:t>
            </w:r>
            <w:r w:rsidRPr="00730F6D">
              <w:rPr>
                <w:rFonts w:ascii="Calibri" w:hAnsi="Calibri" w:cs="Calibri"/>
              </w:rPr>
              <w:br/>
              <w:t>- pozycji leża CPR</w:t>
            </w:r>
            <w:r w:rsidRPr="00730F6D">
              <w:rPr>
                <w:rFonts w:ascii="Calibri" w:hAnsi="Calibri" w:cs="Calibri"/>
              </w:rPr>
              <w:br/>
              <w:t>- pozycji leża antyszokowej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Wyłączniki/blokady funkcji elektrycznych (uruchamiane na panelu sterowniczym dla personelu) dla poszczególnych regulacji: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regulacji wysokości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- regulacji części plecowej 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regulacji części nożnej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przechyłu Trendelenburga i anty-Trendelenburga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- pozycji krzesła kardiologicznego.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Diodowe wskaźniki informujące o zablokowanych regulacjach w panelu dla personelu oraz w pilocie dla pacjenta.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Przycisk bezpieczeństwa (oznaczony charakterystycznie: STOP lub tez o innym oznaczeniu) natychmiastowe </w:t>
            </w:r>
            <w:r w:rsidRPr="00730F6D">
              <w:rPr>
                <w:rFonts w:ascii="Calibri" w:hAnsi="Calibri" w:cs="Calibri"/>
              </w:rPr>
              <w:lastRenderedPageBreak/>
              <w:t xml:space="preserve">odłączenie wszystkich (za wyjątkiem funkcji ratujących życie) 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Zabezpieczenie przed nieświadomym uruchomieniem funkcji poprzez konieczność wciśnięcia przycisku uruchamiającego dostępność funkcji. Przycisk aktywacji na panelu dla personelu i pilocie pacjenta. Naciśnięcie przycisku aktywacji na pilocie lub panelu sterowania aktywuje wszystkie sterowniki.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Odłączenie wszelkich regulacji po min. 180 sekundach nieużywania regulacji, za wyjątkiem funkcji ratujących życie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System elektrycznej ochrony przed uszkodzeniem łóżka w wyniku przeciążenia, polegający na wyłączeniu regulacji łóżka w przypadku przekroczenia dopuszczalnego obciążenia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Łóżko wyposażone w rozwiązania zapewniające bezpieczeństwo pacjenta: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system dźwiękowego alarmu odblokowanych kółek chroniących przed nieświadomym pozostawieniem niezblokowanego łóżka mogącym narazić na upadek na skutek niestabilności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Wbudowany akumulator do zasilania podczas transportu lub w sytuacjach zaniku prądu. Diodowy wskaźnik stanu naładowania akumulatora w panelu sterowania dla personelu. Diodowy wskaźnik informujący dodatkowo o konieczności wymiany baterii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Łóżko wyposażone w rozwiązanie ułatwiające pracę personelu /brak konieczności schylania się i narażania kręgosłupa na uraz/ :</w:t>
            </w:r>
          </w:p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wyposażone w mechanizm zwalniania barierki w jej górnej części, na najwyższej poprzeczce, składane jedną ręką 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730F6D" w:rsidRPr="00730F6D" w:rsidTr="00DD67F9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3F6D5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253D1D">
            <w:pPr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Wyposażenie łóżka : </w:t>
            </w:r>
          </w:p>
          <w:p w:rsidR="00730F6D" w:rsidRPr="00730F6D" w:rsidRDefault="00730F6D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Barierki boczne opisane powyżej </w:t>
            </w:r>
          </w:p>
          <w:p w:rsidR="00730F6D" w:rsidRDefault="00730F6D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 xml:space="preserve">Materac szpitalny w pokrowcu zmywalnym paro przepuszczalnym </w:t>
            </w:r>
          </w:p>
          <w:p w:rsidR="00C321DC" w:rsidRDefault="00C321DC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Wieszak na worki urologiczne</w:t>
            </w:r>
          </w:p>
          <w:p w:rsidR="00C321DC" w:rsidRPr="00730F6D" w:rsidRDefault="007C6055" w:rsidP="00730F6D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Wieszak kroplówki</w:t>
            </w:r>
          </w:p>
          <w:p w:rsidR="00730F6D" w:rsidRPr="00730F6D" w:rsidRDefault="00730F6D" w:rsidP="00253D1D">
            <w:pPr>
              <w:pStyle w:val="Akapitzlist"/>
              <w:ind w:left="420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0372CD">
            <w:pPr>
              <w:jc w:val="center"/>
              <w:rPr>
                <w:rFonts w:ascii="Calibri" w:hAnsi="Calibri" w:cs="Calibri"/>
              </w:rPr>
            </w:pPr>
            <w:r w:rsidRPr="00730F6D">
              <w:rPr>
                <w:rFonts w:ascii="Calibri" w:hAnsi="Calibri" w:cs="Calibri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0F6D" w:rsidRPr="00730F6D" w:rsidRDefault="00730F6D" w:rsidP="00BB6F3C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D3261">
        <w:trPr>
          <w:gridAfter w:val="1"/>
          <w:wAfter w:w="11" w:type="dxa"/>
          <w:trHeight w:val="489"/>
        </w:trPr>
        <w:tc>
          <w:tcPr>
            <w:tcW w:w="97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730F6D" w:rsidRDefault="001D3261" w:rsidP="001D3261">
            <w:pPr>
              <w:jc w:val="center"/>
              <w:rPr>
                <w:rFonts w:ascii="Calibri" w:hAnsi="Calibri" w:cs="Calibri"/>
              </w:rPr>
            </w:pPr>
            <w:r w:rsidRPr="007B1409">
              <w:rPr>
                <w:rFonts w:ascii="Arial" w:eastAsia="Arial" w:hAnsi="Arial" w:cs="Arial"/>
                <w:b/>
                <w:bCs/>
                <w:lang w:eastAsia="zh-CN"/>
              </w:rPr>
              <w:t>WARUNKI GWARANCJI I SERWISU</w:t>
            </w: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Okres gwarancji – min. </w:t>
            </w:r>
            <w:r w:rsidRPr="002645AA">
              <w:rPr>
                <w:rFonts w:asciiTheme="minorHAnsi" w:eastAsia="Tahoma" w:hAnsiTheme="minorHAnsi" w:cstheme="minorHAnsi"/>
                <w:color w:val="000000"/>
                <w:lang w:eastAsia="zh-CN"/>
              </w:rPr>
              <w:t>36 miesięcy</w:t>
            </w:r>
            <w:r w:rsidRPr="002645AA">
              <w:rPr>
                <w:rFonts w:asciiTheme="minorHAnsi" w:eastAsia="Tahoma" w:hAnsiTheme="minorHAnsi" w:cstheme="minorHAnsi"/>
                <w:lang w:eastAsia="zh-CN"/>
              </w:rPr>
              <w:t xml:space="preserve"> obejmującej wszystkie elementy urządzeń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Zapewniony serwis pogwarancyjny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bez użycia części zamiennych, licząc od momentu zgłoszenia awarii – max. 3 dni robocze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rPr>
                <w:rFonts w:asciiTheme="minorHAnsi" w:hAnsiTheme="minorHAnsi" w:cstheme="minorHAnsi"/>
              </w:rPr>
            </w:pPr>
            <w:r w:rsidRPr="002645AA">
              <w:rPr>
                <w:rFonts w:asciiTheme="minorHAnsi" w:hAnsiTheme="minorHAnsi" w:cstheme="minorHAnsi"/>
              </w:rPr>
              <w:t>Czas skutecznej naprawy z użyciem części zamiennych, licząc od momentu zgłoszenia awarii – max. 6 dni roboczych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  <w:tr w:rsidR="001D3261" w:rsidRPr="00730F6D" w:rsidTr="00163092">
        <w:trPr>
          <w:gridAfter w:val="1"/>
          <w:wAfter w:w="11" w:type="dxa"/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2645AA" w:rsidRDefault="001D3261" w:rsidP="001D3261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LineNumbers/>
              <w:tabs>
                <w:tab w:val="left" w:pos="1160"/>
              </w:tabs>
              <w:suppressAutoHyphens/>
              <w:snapToGrid w:val="0"/>
              <w:rPr>
                <w:rFonts w:asciiTheme="minorHAnsi" w:eastAsia="Tahoma" w:hAnsiTheme="minorHAnsi" w:cstheme="minorHAnsi"/>
                <w:lang w:eastAsia="zh-CN"/>
              </w:rPr>
            </w:pPr>
            <w:r w:rsidRPr="002645AA">
              <w:rPr>
                <w:rFonts w:asciiTheme="minorHAnsi" w:eastAsia="Tahoma" w:hAnsiTheme="minorHAnsi" w:cstheme="minorHAnsi"/>
                <w:lang w:eastAsia="zh-CN"/>
              </w:rPr>
              <w:t>Okres zagwarantowania dostępności części  zamiennych minimum 10 lat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3261" w:rsidRPr="002645AA" w:rsidRDefault="001D3261" w:rsidP="001D3261">
            <w:pPr>
              <w:suppressAutoHyphens/>
              <w:snapToGrid w:val="0"/>
              <w:jc w:val="center"/>
              <w:rPr>
                <w:rFonts w:asciiTheme="minorHAnsi" w:eastAsia="Arial" w:hAnsiTheme="minorHAnsi" w:cstheme="minorHAnsi"/>
                <w:lang w:eastAsia="zh-CN"/>
              </w:rPr>
            </w:pPr>
            <w:r w:rsidRPr="002645AA">
              <w:rPr>
                <w:rFonts w:asciiTheme="minorHAnsi" w:eastAsia="Arial" w:hAnsiTheme="minorHAnsi" w:cstheme="minorHAnsi"/>
                <w:lang w:eastAsia="zh-C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261" w:rsidRPr="00730F6D" w:rsidRDefault="001D3261" w:rsidP="001D3261">
            <w:pPr>
              <w:rPr>
                <w:rFonts w:ascii="Calibri" w:hAnsi="Calibri" w:cs="Calibri"/>
              </w:rPr>
            </w:pPr>
          </w:p>
        </w:tc>
      </w:tr>
    </w:tbl>
    <w:p w:rsidR="00DD67F9" w:rsidRPr="000A5C26" w:rsidRDefault="00DD67F9" w:rsidP="00DD67F9">
      <w:pPr>
        <w:rPr>
          <w:rFonts w:ascii="Calibri" w:hAnsi="Calibri" w:cstheme="minorHAnsi"/>
          <w:sz w:val="22"/>
          <w:szCs w:val="22"/>
        </w:rPr>
      </w:pPr>
    </w:p>
    <w:p w:rsidR="00DD67F9" w:rsidRDefault="00DD67F9" w:rsidP="00DD67F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DD67F9" w:rsidRDefault="00DD67F9" w:rsidP="00DD67F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DD67F9" w:rsidRDefault="00DD67F9" w:rsidP="00DD67F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DD67F9" w:rsidRDefault="00DD67F9" w:rsidP="00DD67F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730F6D" w:rsidRDefault="00CC268C">
      <w:pPr>
        <w:rPr>
          <w:rFonts w:ascii="Calibri" w:hAnsi="Calibri" w:cs="Calibri"/>
        </w:rPr>
      </w:pPr>
    </w:p>
    <w:sectPr w:rsidR="000636EE" w:rsidRPr="00730F6D" w:rsidSect="00FE0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6C4838"/>
    <w:multiLevelType w:val="hybridMultilevel"/>
    <w:tmpl w:val="7D0834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70A0F"/>
    <w:multiLevelType w:val="hybridMultilevel"/>
    <w:tmpl w:val="DDE40AB4"/>
    <w:lvl w:ilvl="0" w:tplc="066A91D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C1053B"/>
    <w:multiLevelType w:val="hybridMultilevel"/>
    <w:tmpl w:val="8A2E72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8" w15:restartNumberingAfterBreak="0">
    <w:nsid w:val="30B37D5F"/>
    <w:multiLevelType w:val="hybridMultilevel"/>
    <w:tmpl w:val="C91CB37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67A41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44305"/>
    <w:multiLevelType w:val="hybridMultilevel"/>
    <w:tmpl w:val="6262C1AE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7AF"/>
    <w:rsid w:val="000476F3"/>
    <w:rsid w:val="000732D8"/>
    <w:rsid w:val="00107AED"/>
    <w:rsid w:val="001D3261"/>
    <w:rsid w:val="00292D7B"/>
    <w:rsid w:val="003F6D51"/>
    <w:rsid w:val="004906B8"/>
    <w:rsid w:val="004A2E76"/>
    <w:rsid w:val="00557BD8"/>
    <w:rsid w:val="007221FE"/>
    <w:rsid w:val="00730F6D"/>
    <w:rsid w:val="00732CE0"/>
    <w:rsid w:val="00781EDE"/>
    <w:rsid w:val="007C6055"/>
    <w:rsid w:val="008059AF"/>
    <w:rsid w:val="00905AEC"/>
    <w:rsid w:val="009D15EE"/>
    <w:rsid w:val="009E36F6"/>
    <w:rsid w:val="00A057AF"/>
    <w:rsid w:val="00B4194E"/>
    <w:rsid w:val="00B45721"/>
    <w:rsid w:val="00BB5FAF"/>
    <w:rsid w:val="00BC27AB"/>
    <w:rsid w:val="00C13C5A"/>
    <w:rsid w:val="00C321DC"/>
    <w:rsid w:val="00CC268C"/>
    <w:rsid w:val="00CC6598"/>
    <w:rsid w:val="00DD67F9"/>
    <w:rsid w:val="00E3083B"/>
    <w:rsid w:val="00E878D8"/>
    <w:rsid w:val="00FE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0B3B"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  <w:style w:type="paragraph" w:styleId="Stopka">
    <w:name w:val="footer"/>
    <w:basedOn w:val="Normalny"/>
    <w:link w:val="StopkaZnak"/>
    <w:rsid w:val="00730F6D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730F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Semit</cp:lastModifiedBy>
  <cp:revision>6</cp:revision>
  <dcterms:created xsi:type="dcterms:W3CDTF">2019-07-11T03:20:00Z</dcterms:created>
  <dcterms:modified xsi:type="dcterms:W3CDTF">2019-09-12T10:17:00Z</dcterms:modified>
</cp:coreProperties>
</file>